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B5EC4" w14:textId="77777777" w:rsidR="009F66E1" w:rsidRPr="00A51480" w:rsidRDefault="009F66E1" w:rsidP="009F66E1">
      <w:pPr>
        <w:shd w:val="clear" w:color="auto" w:fill="FFFFFF"/>
        <w:spacing w:before="180" w:after="360"/>
        <w:ind w:left="960" w:right="960"/>
        <w:jc w:val="center"/>
        <w:outlineLvl w:val="4"/>
        <w:rPr>
          <w:rFonts w:eastAsia="Times New Roman" w:cstheme="minorHAnsi"/>
          <w:b/>
          <w:bCs/>
          <w:color w:val="000000"/>
          <w:lang w:eastAsia="es-ES"/>
        </w:rPr>
      </w:pPr>
      <w:r w:rsidRPr="00A51480">
        <w:rPr>
          <w:rFonts w:eastAsia="Times New Roman" w:cstheme="minorHAnsi"/>
          <w:b/>
          <w:bCs/>
          <w:color w:val="000000"/>
          <w:lang w:eastAsia="es-ES"/>
        </w:rPr>
        <w:t>Impreso de información a los depositantes</w:t>
      </w:r>
      <w:permStart w:id="689771017" w:edGrp="everyone"/>
      <w:permEnd w:id="689771017"/>
    </w:p>
    <w:tbl>
      <w:tblPr>
        <w:tblW w:w="0" w:type="auto"/>
        <w:shd w:val="clear" w:color="auto" w:fill="FFFFFF"/>
        <w:tblCellMar>
          <w:left w:w="0" w:type="dxa"/>
          <w:right w:w="0" w:type="dxa"/>
        </w:tblCellMar>
        <w:tblLook w:val="04A0" w:firstRow="1" w:lastRow="0" w:firstColumn="1" w:lastColumn="0" w:noHBand="0" w:noVBand="1"/>
      </w:tblPr>
      <w:tblGrid>
        <w:gridCol w:w="2863"/>
        <w:gridCol w:w="5619"/>
      </w:tblGrid>
      <w:tr w:rsidR="009F66E1" w:rsidRPr="00A51480" w14:paraId="47D017B1" w14:textId="77777777" w:rsidTr="005B42E4">
        <w:tc>
          <w:tcPr>
            <w:tcW w:w="0" w:type="auto"/>
            <w:gridSpan w:val="2"/>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D1F60C4" w14:textId="77777777" w:rsidR="009F66E1" w:rsidRPr="00A51480" w:rsidRDefault="009F66E1" w:rsidP="005B42E4">
            <w:pPr>
              <w:jc w:val="center"/>
              <w:rPr>
                <w:rFonts w:eastAsia="Times New Roman" w:cstheme="minorHAnsi"/>
                <w:b/>
                <w:bCs/>
                <w:color w:val="333333"/>
                <w:lang w:eastAsia="es-ES"/>
              </w:rPr>
            </w:pPr>
            <w:r w:rsidRPr="00A51480">
              <w:rPr>
                <w:rFonts w:eastAsia="Times New Roman" w:cstheme="minorHAnsi"/>
                <w:b/>
                <w:bCs/>
                <w:color w:val="333333"/>
                <w:lang w:eastAsia="es-ES"/>
              </w:rPr>
              <w:t>Información básica sobre la cobertura de los depósitos</w:t>
            </w:r>
          </w:p>
        </w:tc>
      </w:tr>
      <w:tr w:rsidR="009F66E1" w:rsidRPr="00A51480" w14:paraId="3D81AD2A" w14:textId="77777777" w:rsidTr="005B42E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529CF00" w14:textId="77777777" w:rsidR="009F66E1" w:rsidRPr="00A51480" w:rsidRDefault="009F66E1" w:rsidP="005B42E4">
            <w:pPr>
              <w:rPr>
                <w:rFonts w:eastAsia="Times New Roman" w:cstheme="minorHAnsi"/>
                <w:b/>
                <w:color w:val="000000"/>
                <w:lang w:eastAsia="es-ES"/>
              </w:rPr>
            </w:pPr>
            <w:r w:rsidRPr="00A51480">
              <w:rPr>
                <w:rFonts w:eastAsia="Times New Roman" w:cstheme="minorHAnsi"/>
                <w:b/>
                <w:color w:val="000000"/>
                <w:lang w:eastAsia="es-ES"/>
              </w:rPr>
              <w:t>Los depósitos mantenidos en Caja Rural Central, S.C.C. están garantizados por</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FF6E37A" w14:textId="77777777" w:rsidR="009F66E1" w:rsidRPr="00A51480" w:rsidRDefault="009F66E1" w:rsidP="005B42E4">
            <w:pPr>
              <w:rPr>
                <w:rFonts w:eastAsia="Times New Roman" w:cstheme="minorHAnsi"/>
                <w:color w:val="000000"/>
                <w:lang w:eastAsia="es-ES"/>
              </w:rPr>
            </w:pPr>
            <w:r w:rsidRPr="00A51480">
              <w:rPr>
                <w:rFonts w:eastAsia="Times New Roman" w:cstheme="minorHAnsi"/>
                <w:color w:val="000000"/>
                <w:lang w:eastAsia="es-ES"/>
              </w:rPr>
              <w:t xml:space="preserve">Fondo de Garantía de Depósitos de Entidades de Crédito </w:t>
            </w:r>
          </w:p>
        </w:tc>
      </w:tr>
      <w:tr w:rsidR="009F66E1" w:rsidRPr="00A51480" w14:paraId="3F4CBB52" w14:textId="77777777" w:rsidTr="005B42E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2DD0930" w14:textId="77777777" w:rsidR="009F66E1" w:rsidRPr="00A51480" w:rsidRDefault="009F66E1" w:rsidP="005B42E4">
            <w:pPr>
              <w:rPr>
                <w:rFonts w:eastAsia="Times New Roman" w:cstheme="minorHAnsi"/>
                <w:b/>
                <w:color w:val="000000"/>
                <w:lang w:eastAsia="es-ES"/>
              </w:rPr>
            </w:pPr>
            <w:r w:rsidRPr="00A51480">
              <w:rPr>
                <w:rFonts w:eastAsia="Times New Roman" w:cstheme="minorHAnsi"/>
                <w:b/>
                <w:color w:val="000000"/>
                <w:lang w:eastAsia="es-ES"/>
              </w:rPr>
              <w:t>Límite de la cobertura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4B6439D" w14:textId="77777777" w:rsidR="009F66E1" w:rsidRPr="00A51480" w:rsidRDefault="009F66E1" w:rsidP="005B42E4">
            <w:pPr>
              <w:rPr>
                <w:rFonts w:eastAsia="Times New Roman" w:cstheme="minorHAnsi"/>
                <w:color w:val="000000"/>
                <w:lang w:eastAsia="es-ES"/>
              </w:rPr>
            </w:pPr>
            <w:r w:rsidRPr="00A51480">
              <w:rPr>
                <w:rFonts w:eastAsia="Times New Roman" w:cstheme="minorHAnsi"/>
                <w:color w:val="000000"/>
                <w:lang w:eastAsia="es-ES"/>
              </w:rPr>
              <w:t>100.000 euros (o su correspondiente valor en la divisa en la que esté denominado el depósito) por depositante y entidad de crédito (2)</w:t>
            </w:r>
          </w:p>
        </w:tc>
      </w:tr>
      <w:tr w:rsidR="009F66E1" w:rsidRPr="00A51480" w14:paraId="27AA3C61" w14:textId="77777777" w:rsidTr="005B42E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DBB1818" w14:textId="77777777" w:rsidR="009F66E1" w:rsidRPr="00A51480" w:rsidRDefault="009F66E1" w:rsidP="005B42E4">
            <w:pPr>
              <w:rPr>
                <w:rFonts w:eastAsia="Times New Roman" w:cstheme="minorHAnsi"/>
                <w:b/>
                <w:color w:val="000000"/>
                <w:lang w:eastAsia="es-ES"/>
              </w:rPr>
            </w:pPr>
            <w:r w:rsidRPr="00A51480">
              <w:rPr>
                <w:rFonts w:eastAsia="Times New Roman" w:cstheme="minorHAnsi"/>
                <w:b/>
                <w:color w:val="000000"/>
                <w:lang w:eastAsia="es-ES"/>
              </w:rPr>
              <w:t>Si tiene usted más depósitos en la misma entidad de crédito:</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D9852B9" w14:textId="77777777" w:rsidR="009F66E1" w:rsidRPr="00A51480" w:rsidRDefault="009F66E1" w:rsidP="005B42E4">
            <w:pPr>
              <w:rPr>
                <w:rFonts w:eastAsia="Times New Roman" w:cstheme="minorHAnsi"/>
                <w:color w:val="000000"/>
                <w:lang w:eastAsia="es-ES"/>
              </w:rPr>
            </w:pPr>
            <w:r w:rsidRPr="00A51480">
              <w:rPr>
                <w:rFonts w:eastAsia="Times New Roman" w:cstheme="minorHAnsi"/>
                <w:color w:val="000000"/>
                <w:lang w:eastAsia="es-ES"/>
              </w:rPr>
              <w:t>Todos sus depósitos en la misma entidad de crédito se suman y el total está sujeto al límite de 100.000 euros (o su correspondiente valor en la divisa en la que esté denominado el depósito) (2).</w:t>
            </w:r>
          </w:p>
        </w:tc>
      </w:tr>
      <w:tr w:rsidR="009F66E1" w:rsidRPr="00A51480" w14:paraId="581DD46D" w14:textId="77777777" w:rsidTr="005B42E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8DB1F6B" w14:textId="77777777" w:rsidR="009F66E1" w:rsidRPr="00A51480" w:rsidRDefault="009F66E1" w:rsidP="005B42E4">
            <w:pPr>
              <w:rPr>
                <w:rFonts w:eastAsia="Times New Roman" w:cstheme="minorHAnsi"/>
                <w:b/>
                <w:color w:val="000000"/>
                <w:lang w:eastAsia="es-ES"/>
              </w:rPr>
            </w:pPr>
            <w:r w:rsidRPr="00A51480">
              <w:rPr>
                <w:rFonts w:eastAsia="Times New Roman" w:cstheme="minorHAnsi"/>
                <w:b/>
                <w:color w:val="000000"/>
                <w:lang w:eastAsia="es-ES"/>
              </w:rPr>
              <w:t>Si tiene una cuenta en participación con otra(s) persona(s):</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9511EF8" w14:textId="77777777" w:rsidR="009F66E1" w:rsidRPr="00A51480" w:rsidRDefault="009F66E1" w:rsidP="005B42E4">
            <w:pPr>
              <w:rPr>
                <w:rFonts w:eastAsia="Times New Roman" w:cstheme="minorHAnsi"/>
                <w:color w:val="000000"/>
                <w:lang w:eastAsia="es-ES"/>
              </w:rPr>
            </w:pPr>
            <w:r w:rsidRPr="00A51480">
              <w:rPr>
                <w:rFonts w:eastAsia="Times New Roman" w:cstheme="minorHAnsi"/>
                <w:color w:val="000000"/>
                <w:lang w:eastAsia="es-ES"/>
              </w:rPr>
              <w:t>El límite de 100 000 EUR (o su correspondiente valor en la divisa en la que esté denominado el depósito) se aplica a cada depositante por separado (3).</w:t>
            </w:r>
          </w:p>
        </w:tc>
      </w:tr>
      <w:tr w:rsidR="009F66E1" w:rsidRPr="00A51480" w14:paraId="3EF49B13" w14:textId="77777777" w:rsidTr="005B42E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B6B4C9E" w14:textId="77777777" w:rsidR="009F66E1" w:rsidRPr="00A51480" w:rsidRDefault="009F66E1" w:rsidP="005B42E4">
            <w:pPr>
              <w:rPr>
                <w:rFonts w:eastAsia="Times New Roman" w:cstheme="minorHAnsi"/>
                <w:b/>
                <w:color w:val="000000"/>
                <w:lang w:eastAsia="es-ES"/>
              </w:rPr>
            </w:pPr>
            <w:r w:rsidRPr="00A51480">
              <w:rPr>
                <w:rFonts w:eastAsia="Times New Roman" w:cstheme="minorHAnsi"/>
                <w:b/>
                <w:color w:val="000000"/>
                <w:lang w:eastAsia="es-ES"/>
              </w:rPr>
              <w:t>Período de reembolso en caso de concurso de la entidad de crédito:</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E66F5E8" w14:textId="77777777" w:rsidR="009F66E1" w:rsidRPr="00A51480" w:rsidRDefault="009F66E1" w:rsidP="005B42E4">
            <w:pPr>
              <w:rPr>
                <w:rFonts w:eastAsia="Times New Roman" w:cstheme="minorHAnsi"/>
                <w:color w:val="000000"/>
                <w:lang w:eastAsia="es-ES"/>
              </w:rPr>
            </w:pPr>
            <w:r w:rsidRPr="00A51480">
              <w:rPr>
                <w:rFonts w:eastAsia="Times New Roman" w:cstheme="minorHAnsi"/>
                <w:color w:val="000000"/>
                <w:lang w:eastAsia="es-ES"/>
              </w:rPr>
              <w:t>7 días hábiles, a partir del 01/01/2024 (4)</w:t>
            </w:r>
          </w:p>
        </w:tc>
      </w:tr>
      <w:tr w:rsidR="009F66E1" w:rsidRPr="00A51480" w14:paraId="15B8A442" w14:textId="77777777" w:rsidTr="005B42E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8EE00EB" w14:textId="77777777" w:rsidR="009F66E1" w:rsidRPr="00A51480" w:rsidRDefault="009F66E1" w:rsidP="005B42E4">
            <w:pPr>
              <w:rPr>
                <w:rFonts w:eastAsia="Times New Roman" w:cstheme="minorHAnsi"/>
                <w:b/>
                <w:color w:val="000000"/>
                <w:lang w:eastAsia="es-ES"/>
              </w:rPr>
            </w:pPr>
            <w:r w:rsidRPr="00A51480">
              <w:rPr>
                <w:rFonts w:eastAsia="Times New Roman" w:cstheme="minorHAnsi"/>
                <w:b/>
                <w:color w:val="000000"/>
                <w:lang w:eastAsia="es-ES"/>
              </w:rPr>
              <w:t>Moneda en que se realiza el reembolso:</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DA6091E" w14:textId="77777777" w:rsidR="009F66E1" w:rsidRPr="00A51480" w:rsidRDefault="009F66E1" w:rsidP="005B42E4">
            <w:pPr>
              <w:rPr>
                <w:rFonts w:eastAsia="Times New Roman" w:cstheme="minorHAnsi"/>
                <w:color w:val="000000"/>
                <w:lang w:eastAsia="es-ES"/>
              </w:rPr>
            </w:pPr>
            <w:r w:rsidRPr="00A51480">
              <w:rPr>
                <w:rFonts w:eastAsia="Times New Roman" w:cstheme="minorHAnsi"/>
                <w:color w:val="000000"/>
                <w:lang w:eastAsia="es-ES"/>
              </w:rPr>
              <w:t xml:space="preserve">Euros </w:t>
            </w:r>
          </w:p>
        </w:tc>
      </w:tr>
      <w:tr w:rsidR="009F66E1" w:rsidRPr="00A51480" w14:paraId="3F0ED2F4" w14:textId="77777777" w:rsidTr="005B42E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782423A" w14:textId="77777777" w:rsidR="009F66E1" w:rsidRPr="00A51480" w:rsidRDefault="009F66E1" w:rsidP="005B42E4">
            <w:pPr>
              <w:rPr>
                <w:rFonts w:eastAsia="Times New Roman" w:cstheme="minorHAnsi"/>
                <w:b/>
                <w:color w:val="000000"/>
                <w:lang w:eastAsia="es-ES"/>
              </w:rPr>
            </w:pPr>
            <w:r w:rsidRPr="00A51480">
              <w:rPr>
                <w:rFonts w:eastAsia="Times New Roman" w:cstheme="minorHAnsi"/>
                <w:b/>
                <w:color w:val="000000"/>
                <w:lang w:eastAsia="es-ES"/>
              </w:rPr>
              <w:t>Contacto:</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B33AB80" w14:textId="77777777" w:rsidR="009F66E1" w:rsidRPr="00A51480" w:rsidRDefault="009F66E1" w:rsidP="005B42E4">
            <w:pPr>
              <w:rPr>
                <w:rFonts w:eastAsia="Times New Roman" w:cstheme="minorHAnsi"/>
                <w:color w:val="000000"/>
                <w:lang w:eastAsia="es-ES"/>
              </w:rPr>
            </w:pPr>
            <w:r w:rsidRPr="00A51480">
              <w:rPr>
                <w:rFonts w:eastAsia="Times New Roman" w:cstheme="minorHAnsi"/>
                <w:color w:val="000000"/>
                <w:lang w:eastAsia="es-ES"/>
              </w:rPr>
              <w:t>C/José Ortega y Gasset, 22-4ª planta, 28006 Madrid</w:t>
            </w:r>
          </w:p>
          <w:p w14:paraId="58470DB6" w14:textId="77777777" w:rsidR="009F66E1" w:rsidRPr="00A51480" w:rsidRDefault="009F66E1" w:rsidP="005B42E4">
            <w:pPr>
              <w:rPr>
                <w:rFonts w:eastAsia="Times New Roman" w:cstheme="minorHAnsi"/>
                <w:color w:val="000000"/>
                <w:lang w:eastAsia="es-ES"/>
              </w:rPr>
            </w:pPr>
            <w:proofErr w:type="gramStart"/>
            <w:r w:rsidRPr="00A51480">
              <w:rPr>
                <w:rFonts w:eastAsia="Times New Roman" w:cstheme="minorHAnsi"/>
                <w:color w:val="000000"/>
                <w:lang w:eastAsia="es-ES"/>
              </w:rPr>
              <w:t>Teléfono:+</w:t>
            </w:r>
            <w:proofErr w:type="gramEnd"/>
            <w:r w:rsidRPr="00A51480">
              <w:rPr>
                <w:rFonts w:eastAsia="Times New Roman" w:cstheme="minorHAnsi"/>
                <w:color w:val="000000"/>
                <w:lang w:eastAsia="es-ES"/>
              </w:rPr>
              <w:t xml:space="preserve">34 91 431 66 45 </w:t>
            </w:r>
          </w:p>
          <w:p w14:paraId="38E5F282" w14:textId="77777777" w:rsidR="009F66E1" w:rsidRPr="00A51480" w:rsidRDefault="009F66E1" w:rsidP="005B42E4">
            <w:pPr>
              <w:rPr>
                <w:rFonts w:eastAsia="Times New Roman" w:cstheme="minorHAnsi"/>
                <w:color w:val="000000"/>
                <w:lang w:eastAsia="es-ES"/>
              </w:rPr>
            </w:pPr>
            <w:r w:rsidRPr="00A51480">
              <w:rPr>
                <w:rFonts w:eastAsia="Times New Roman" w:cstheme="minorHAnsi"/>
                <w:color w:val="000000"/>
                <w:lang w:eastAsia="es-ES"/>
              </w:rPr>
              <w:t>Fax: +34 91 575 57 28</w:t>
            </w:r>
          </w:p>
          <w:p w14:paraId="68953493" w14:textId="77777777" w:rsidR="009F66E1" w:rsidRPr="00A51480" w:rsidRDefault="009F66E1" w:rsidP="005B42E4">
            <w:pPr>
              <w:rPr>
                <w:rFonts w:eastAsia="Times New Roman" w:cstheme="minorHAnsi"/>
                <w:color w:val="000000"/>
                <w:lang w:eastAsia="es-ES"/>
              </w:rPr>
            </w:pPr>
            <w:r w:rsidRPr="00A51480">
              <w:rPr>
                <w:rFonts w:eastAsia="Times New Roman" w:cstheme="minorHAnsi"/>
                <w:color w:val="000000"/>
                <w:lang w:eastAsia="es-ES"/>
              </w:rPr>
              <w:t xml:space="preserve">Correo electrónico: </w:t>
            </w:r>
            <w:hyperlink r:id="rId6" w:history="1">
              <w:r w:rsidRPr="00A51480">
                <w:rPr>
                  <w:rStyle w:val="Hipervnculo"/>
                  <w:rFonts w:cstheme="minorHAnsi"/>
                </w:rPr>
                <w:t>info@fgd.es</w:t>
              </w:r>
            </w:hyperlink>
          </w:p>
        </w:tc>
      </w:tr>
      <w:tr w:rsidR="009F66E1" w:rsidRPr="00A51480" w14:paraId="7136DAEA" w14:textId="77777777" w:rsidTr="005B42E4">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6BFB588" w14:textId="77777777" w:rsidR="009F66E1" w:rsidRPr="00A51480" w:rsidRDefault="009F66E1" w:rsidP="005B42E4">
            <w:pPr>
              <w:rPr>
                <w:rFonts w:eastAsia="Times New Roman" w:cstheme="minorHAnsi"/>
                <w:b/>
                <w:color w:val="000000"/>
                <w:lang w:eastAsia="es-ES"/>
              </w:rPr>
            </w:pPr>
            <w:r w:rsidRPr="00A51480">
              <w:rPr>
                <w:rFonts w:eastAsia="Times New Roman" w:cstheme="minorHAnsi"/>
                <w:b/>
                <w:color w:val="000000"/>
                <w:lang w:eastAsia="es-ES"/>
              </w:rPr>
              <w:t>Para más información:</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3A3E28B" w14:textId="77777777" w:rsidR="009F66E1" w:rsidRPr="00A51480" w:rsidRDefault="009F66E1" w:rsidP="005B42E4">
            <w:pPr>
              <w:rPr>
                <w:rFonts w:eastAsia="Times New Roman" w:cstheme="minorHAnsi"/>
                <w:color w:val="000000"/>
                <w:lang w:eastAsia="es-ES"/>
              </w:rPr>
            </w:pPr>
            <w:hyperlink r:id="rId7" w:history="1">
              <w:r w:rsidRPr="00A51480">
                <w:rPr>
                  <w:rStyle w:val="Hipervnculo"/>
                  <w:rFonts w:eastAsia="Times New Roman" w:cstheme="minorHAnsi"/>
                  <w:lang w:eastAsia="es-ES"/>
                </w:rPr>
                <w:t>http://www.fgd.es</w:t>
              </w:r>
            </w:hyperlink>
          </w:p>
        </w:tc>
      </w:tr>
    </w:tbl>
    <w:p w14:paraId="60793CEA" w14:textId="77777777" w:rsidR="00A51480" w:rsidRDefault="00A51480" w:rsidP="009F66E1">
      <w:pPr>
        <w:shd w:val="clear" w:color="auto" w:fill="FFFFFF"/>
        <w:spacing w:before="360" w:after="180"/>
        <w:ind w:left="960" w:firstLine="360"/>
        <w:jc w:val="both"/>
        <w:rPr>
          <w:rFonts w:eastAsia="Times New Roman" w:cstheme="minorHAnsi"/>
          <w:b/>
          <w:color w:val="000000"/>
          <w:lang w:eastAsia="es-ES"/>
        </w:rPr>
      </w:pPr>
    </w:p>
    <w:p w14:paraId="2622CB3B" w14:textId="77777777" w:rsidR="009F66E1" w:rsidRPr="00A51480" w:rsidRDefault="009F66E1" w:rsidP="009F66E1">
      <w:pPr>
        <w:shd w:val="clear" w:color="auto" w:fill="FFFFFF"/>
        <w:spacing w:before="360" w:after="180"/>
        <w:ind w:left="960" w:firstLine="360"/>
        <w:jc w:val="both"/>
        <w:rPr>
          <w:rFonts w:eastAsia="Times New Roman" w:cstheme="minorHAnsi"/>
          <w:b/>
          <w:color w:val="000000"/>
          <w:lang w:eastAsia="es-ES"/>
        </w:rPr>
      </w:pPr>
      <w:r w:rsidRPr="00A51480">
        <w:rPr>
          <w:rFonts w:eastAsia="Times New Roman" w:cstheme="minorHAnsi"/>
          <w:b/>
          <w:color w:val="000000"/>
          <w:lang w:eastAsia="es-ES"/>
        </w:rPr>
        <w:lastRenderedPageBreak/>
        <w:t>(2) Límite general de la protección.</w:t>
      </w:r>
    </w:p>
    <w:p w14:paraId="1FDB5154" w14:textId="77777777" w:rsidR="009F66E1" w:rsidRPr="00A51480" w:rsidRDefault="009F66E1" w:rsidP="009F66E1">
      <w:pPr>
        <w:shd w:val="clear" w:color="auto" w:fill="FFFFFF"/>
        <w:spacing w:before="360" w:after="180"/>
        <w:ind w:left="960" w:firstLine="360"/>
        <w:jc w:val="both"/>
        <w:rPr>
          <w:rFonts w:eastAsia="Times New Roman" w:cstheme="minorHAnsi"/>
          <w:color w:val="000000"/>
          <w:lang w:eastAsia="es-ES"/>
        </w:rPr>
      </w:pPr>
      <w:r w:rsidRPr="00A51480">
        <w:rPr>
          <w:rFonts w:eastAsia="Times New Roman" w:cstheme="minorHAnsi"/>
          <w:color w:val="000000"/>
          <w:lang w:eastAsia="es-ES"/>
        </w:rPr>
        <w:t>Si no pudiera disponerse de un depósito debido a que una entidad de crédito no esté en condiciones de cumplir sus obligaciones financieras, un Sistema de Garantía de Depósitos reembolsará a los depositantes. El reembolso asciende como máximo a 100 000 EUR (o su correspondiente valor en la divisa en la que esté denominado el depósito) por entidad de crédito. Esto significa que se suman todos sus depósitos efectuados en la misma entidad de crédito para determinar el nivel de cobertura. Si, por ejemplo, un depositante posee una cuenta de ahorro con 90 000 EUR y una cuenta corriente con 20 000 EUR, solo se le reembolsarán 100 000 EUR.</w:t>
      </w:r>
    </w:p>
    <w:p w14:paraId="3BCBD484" w14:textId="77777777" w:rsidR="009F66E1" w:rsidRPr="00A51480" w:rsidRDefault="009F66E1" w:rsidP="009F66E1">
      <w:pPr>
        <w:shd w:val="clear" w:color="auto" w:fill="FFFFFF"/>
        <w:spacing w:before="360" w:after="180"/>
        <w:ind w:left="960" w:firstLine="360"/>
        <w:jc w:val="both"/>
        <w:rPr>
          <w:rFonts w:eastAsia="Times New Roman" w:cstheme="minorHAnsi"/>
          <w:b/>
          <w:color w:val="000000"/>
          <w:lang w:eastAsia="es-ES"/>
        </w:rPr>
      </w:pPr>
      <w:r w:rsidRPr="00A51480">
        <w:rPr>
          <w:rFonts w:eastAsia="Times New Roman" w:cstheme="minorHAnsi"/>
          <w:b/>
          <w:color w:val="000000"/>
          <w:lang w:eastAsia="es-ES"/>
        </w:rPr>
        <w:t>(3) Límite de la protección para las cuentas en participación.</w:t>
      </w:r>
    </w:p>
    <w:p w14:paraId="15A48CFE" w14:textId="77777777" w:rsidR="009F66E1" w:rsidRPr="00A51480" w:rsidRDefault="009F66E1" w:rsidP="009F66E1">
      <w:pPr>
        <w:shd w:val="clear" w:color="auto" w:fill="FFFFFF"/>
        <w:spacing w:before="360" w:after="180"/>
        <w:ind w:left="960" w:firstLine="360"/>
        <w:jc w:val="both"/>
        <w:rPr>
          <w:rFonts w:eastAsia="Times New Roman" w:cstheme="minorHAnsi"/>
          <w:color w:val="000000"/>
          <w:lang w:eastAsia="es-ES"/>
        </w:rPr>
      </w:pPr>
      <w:r w:rsidRPr="00A51480">
        <w:rPr>
          <w:rFonts w:eastAsia="Times New Roman" w:cstheme="minorHAnsi"/>
          <w:color w:val="000000"/>
          <w:lang w:eastAsia="es-ES"/>
        </w:rPr>
        <w:t>En el caso de cuentas en participación, el límite de 100 000 EUR se aplicará a cada depositante.</w:t>
      </w:r>
    </w:p>
    <w:p w14:paraId="64C1B939" w14:textId="77777777" w:rsidR="009F66E1" w:rsidRPr="00A51480" w:rsidRDefault="009F66E1" w:rsidP="009F66E1">
      <w:pPr>
        <w:shd w:val="clear" w:color="auto" w:fill="FFFFFF"/>
        <w:spacing w:before="180" w:after="180"/>
        <w:ind w:left="960" w:firstLine="360"/>
        <w:jc w:val="both"/>
        <w:rPr>
          <w:rFonts w:eastAsia="Times New Roman" w:cstheme="minorHAnsi"/>
          <w:color w:val="000000"/>
          <w:lang w:eastAsia="es-ES"/>
        </w:rPr>
      </w:pPr>
      <w:r w:rsidRPr="00A51480">
        <w:rPr>
          <w:rFonts w:eastAsia="Times New Roman" w:cstheme="minorHAnsi"/>
          <w:color w:val="000000"/>
          <w:lang w:eastAsia="es-ES"/>
        </w:rPr>
        <w:t>Sin embargo, los depósitos en una cuenta sobre la que tengan derechos dos o más personas como socios o miembros de una sociedad, una asociación o cualquier agrupación de índole similar, sin personalidad jurídica, se agregan y tratan como si los hubiera efectuado un depositante único a efectos del cálculo del límite de 100 000 EUR (o su correspondiente valor en la divisa en la que esté denominado el depósito).</w:t>
      </w:r>
    </w:p>
    <w:p w14:paraId="76EBAE73" w14:textId="77777777" w:rsidR="009F66E1" w:rsidRPr="00A51480" w:rsidRDefault="009F66E1" w:rsidP="009F66E1">
      <w:pPr>
        <w:shd w:val="clear" w:color="auto" w:fill="FFFFFF"/>
        <w:spacing w:before="360" w:after="180"/>
        <w:ind w:left="960" w:firstLine="360"/>
        <w:jc w:val="both"/>
        <w:rPr>
          <w:rFonts w:eastAsia="Times New Roman" w:cstheme="minorHAnsi"/>
          <w:b/>
          <w:color w:val="000000"/>
          <w:lang w:eastAsia="es-ES"/>
        </w:rPr>
      </w:pPr>
      <w:r w:rsidRPr="00A51480">
        <w:rPr>
          <w:rFonts w:eastAsia="Times New Roman" w:cstheme="minorHAnsi"/>
          <w:b/>
          <w:color w:val="000000"/>
          <w:lang w:eastAsia="es-ES"/>
        </w:rPr>
        <w:t>(4) Reembolso.</w:t>
      </w:r>
    </w:p>
    <w:p w14:paraId="4A905D73" w14:textId="77777777" w:rsidR="009F66E1" w:rsidRPr="00A51480" w:rsidRDefault="009F66E1" w:rsidP="009F66E1">
      <w:pPr>
        <w:shd w:val="clear" w:color="auto" w:fill="FFFFFF"/>
        <w:spacing w:before="360" w:after="180"/>
        <w:ind w:left="960" w:firstLine="360"/>
        <w:jc w:val="both"/>
        <w:rPr>
          <w:rFonts w:eastAsia="Times New Roman" w:cstheme="minorHAnsi"/>
          <w:color w:val="000000"/>
          <w:lang w:eastAsia="es-ES"/>
        </w:rPr>
      </w:pPr>
      <w:r w:rsidRPr="00A51480">
        <w:rPr>
          <w:rFonts w:eastAsia="Times New Roman" w:cstheme="minorHAnsi"/>
          <w:color w:val="000000"/>
          <w:lang w:eastAsia="es-ES"/>
        </w:rPr>
        <w:t>El sistema de garantía de depósitos responsable es:</w:t>
      </w:r>
    </w:p>
    <w:p w14:paraId="1F5DDF5E" w14:textId="77777777" w:rsidR="009F66E1" w:rsidRPr="00A51480" w:rsidRDefault="009F66E1" w:rsidP="009F66E1">
      <w:pPr>
        <w:ind w:left="612" w:firstLine="708"/>
        <w:rPr>
          <w:rFonts w:eastAsia="Times New Roman" w:cstheme="minorHAnsi"/>
          <w:color w:val="000000"/>
          <w:lang w:eastAsia="es-ES"/>
        </w:rPr>
      </w:pPr>
      <w:r w:rsidRPr="00A51480">
        <w:rPr>
          <w:rFonts w:eastAsia="Times New Roman" w:cstheme="minorHAnsi"/>
          <w:color w:val="000000"/>
          <w:lang w:eastAsia="es-ES"/>
        </w:rPr>
        <w:t>Fondo de Garantía de Depósitos de Entidades de Crédito</w:t>
      </w:r>
    </w:p>
    <w:p w14:paraId="6F4EE3C6" w14:textId="77777777" w:rsidR="009F66E1" w:rsidRPr="00A51480" w:rsidRDefault="009F66E1" w:rsidP="009F66E1">
      <w:pPr>
        <w:ind w:left="612" w:firstLine="708"/>
        <w:rPr>
          <w:rFonts w:eastAsia="Times New Roman" w:cstheme="minorHAnsi"/>
          <w:color w:val="000000"/>
          <w:lang w:eastAsia="es-ES"/>
        </w:rPr>
      </w:pPr>
      <w:r w:rsidRPr="00A51480">
        <w:rPr>
          <w:rFonts w:eastAsia="Times New Roman" w:cstheme="minorHAnsi"/>
          <w:color w:val="000000"/>
          <w:lang w:eastAsia="es-ES"/>
        </w:rPr>
        <w:t>C/José Ortega y Gasset, 22-4ª planta, 28006 Madrid</w:t>
      </w:r>
    </w:p>
    <w:p w14:paraId="40851FD6" w14:textId="77777777" w:rsidR="009F66E1" w:rsidRPr="00A51480" w:rsidRDefault="009F66E1" w:rsidP="009F66E1">
      <w:pPr>
        <w:ind w:left="612" w:firstLine="708"/>
        <w:rPr>
          <w:rFonts w:eastAsia="Times New Roman" w:cstheme="minorHAnsi"/>
          <w:color w:val="000000"/>
          <w:lang w:eastAsia="es-ES"/>
        </w:rPr>
      </w:pPr>
      <w:proofErr w:type="gramStart"/>
      <w:r w:rsidRPr="00A51480">
        <w:rPr>
          <w:rFonts w:eastAsia="Times New Roman" w:cstheme="minorHAnsi"/>
          <w:color w:val="000000"/>
          <w:lang w:eastAsia="es-ES"/>
        </w:rPr>
        <w:t>Teléfono:+</w:t>
      </w:r>
      <w:proofErr w:type="gramEnd"/>
      <w:r w:rsidRPr="00A51480">
        <w:rPr>
          <w:rFonts w:eastAsia="Times New Roman" w:cstheme="minorHAnsi"/>
          <w:color w:val="000000"/>
          <w:lang w:eastAsia="es-ES"/>
        </w:rPr>
        <w:t xml:space="preserve">34 91 431 66 45 </w:t>
      </w:r>
    </w:p>
    <w:p w14:paraId="4E2326CA" w14:textId="77777777" w:rsidR="009F66E1" w:rsidRPr="00A51480" w:rsidRDefault="009F66E1" w:rsidP="009F66E1">
      <w:pPr>
        <w:ind w:left="612" w:firstLine="708"/>
        <w:rPr>
          <w:rFonts w:eastAsia="Times New Roman" w:cstheme="minorHAnsi"/>
          <w:color w:val="000000"/>
          <w:lang w:eastAsia="es-ES"/>
        </w:rPr>
      </w:pPr>
      <w:r w:rsidRPr="00A51480">
        <w:rPr>
          <w:rFonts w:eastAsia="Times New Roman" w:cstheme="minorHAnsi"/>
          <w:color w:val="000000"/>
          <w:lang w:eastAsia="es-ES"/>
        </w:rPr>
        <w:t>Fax: +34 91 575 57 28</w:t>
      </w:r>
    </w:p>
    <w:p w14:paraId="3593E940" w14:textId="77777777" w:rsidR="009F66E1" w:rsidRPr="00A51480" w:rsidRDefault="009F66E1" w:rsidP="009F66E1">
      <w:pPr>
        <w:ind w:left="612" w:firstLine="708"/>
        <w:rPr>
          <w:rFonts w:cstheme="minorHAnsi"/>
          <w:color w:val="000000"/>
        </w:rPr>
      </w:pPr>
      <w:r w:rsidRPr="00A51480">
        <w:rPr>
          <w:rFonts w:eastAsia="Times New Roman" w:cstheme="minorHAnsi"/>
          <w:color w:val="000000"/>
          <w:lang w:eastAsia="es-ES"/>
        </w:rPr>
        <w:t xml:space="preserve">Correo electrónico: </w:t>
      </w:r>
      <w:hyperlink r:id="rId8" w:history="1">
        <w:r w:rsidRPr="00A51480">
          <w:rPr>
            <w:rStyle w:val="Hipervnculo"/>
            <w:rFonts w:cstheme="minorHAnsi"/>
          </w:rPr>
          <w:t>info@fgd.es</w:t>
        </w:r>
      </w:hyperlink>
    </w:p>
    <w:p w14:paraId="06681C3D" w14:textId="77777777" w:rsidR="009F66E1" w:rsidRPr="00A51480" w:rsidRDefault="009F66E1" w:rsidP="009F66E1">
      <w:pPr>
        <w:ind w:left="612" w:firstLine="708"/>
        <w:rPr>
          <w:rFonts w:eastAsia="Times New Roman" w:cstheme="minorHAnsi"/>
          <w:color w:val="000000"/>
          <w:lang w:eastAsia="es-ES"/>
        </w:rPr>
      </w:pPr>
      <w:r w:rsidRPr="00A51480">
        <w:rPr>
          <w:rFonts w:cstheme="minorHAnsi"/>
          <w:color w:val="000000"/>
        </w:rPr>
        <w:t>Sitio web: http://www.fgd.es</w:t>
      </w:r>
    </w:p>
    <w:p w14:paraId="630FF76C" w14:textId="77777777" w:rsidR="009F66E1" w:rsidRPr="00A51480" w:rsidRDefault="009F66E1" w:rsidP="009F66E1">
      <w:pPr>
        <w:shd w:val="clear" w:color="auto" w:fill="FFFFFF"/>
        <w:spacing w:before="360" w:after="180"/>
        <w:ind w:left="960" w:firstLine="360"/>
        <w:jc w:val="both"/>
        <w:rPr>
          <w:rFonts w:eastAsia="Times New Roman" w:cstheme="minorHAnsi"/>
          <w:color w:val="000000"/>
          <w:lang w:eastAsia="es-ES"/>
        </w:rPr>
      </w:pPr>
      <w:r w:rsidRPr="00A51480">
        <w:rPr>
          <w:rFonts w:eastAsia="Times New Roman" w:cstheme="minorHAnsi"/>
          <w:color w:val="000000"/>
          <w:lang w:eastAsia="es-ES"/>
        </w:rPr>
        <w:lastRenderedPageBreak/>
        <w:t xml:space="preserve">Le reembolsará sus depósitos (hasta un máximo de 100 000 EUR) euros (o su correspondiente valor en la divisa en la que esté denominado el depósito) </w:t>
      </w:r>
      <w:proofErr w:type="gramStart"/>
      <w:r w:rsidRPr="00A51480">
        <w:rPr>
          <w:rFonts w:eastAsia="Times New Roman" w:cstheme="minorHAnsi"/>
          <w:color w:val="000000"/>
          <w:lang w:eastAsia="es-ES"/>
        </w:rPr>
        <w:t>en  un</w:t>
      </w:r>
      <w:proofErr w:type="gramEnd"/>
      <w:r w:rsidRPr="00A51480">
        <w:rPr>
          <w:rFonts w:eastAsia="Times New Roman" w:cstheme="minorHAnsi"/>
          <w:color w:val="000000"/>
          <w:lang w:eastAsia="es-ES"/>
        </w:rPr>
        <w:t xml:space="preserve"> plazo de 7 días hábiles, a partir del 01/01/2024.</w:t>
      </w:r>
    </w:p>
    <w:p w14:paraId="7693CAF7" w14:textId="77777777" w:rsidR="009F66E1" w:rsidRPr="00A51480" w:rsidRDefault="009F66E1" w:rsidP="009F66E1">
      <w:pPr>
        <w:shd w:val="clear" w:color="auto" w:fill="FFFFFF"/>
        <w:spacing w:before="360" w:after="180"/>
        <w:ind w:left="960" w:firstLine="360"/>
        <w:jc w:val="both"/>
        <w:rPr>
          <w:rFonts w:eastAsia="Times New Roman" w:cstheme="minorHAnsi"/>
          <w:b/>
          <w:color w:val="000000"/>
          <w:lang w:eastAsia="es-ES"/>
        </w:rPr>
      </w:pPr>
      <w:r w:rsidRPr="00A51480">
        <w:rPr>
          <w:rFonts w:eastAsia="Times New Roman" w:cstheme="minorHAnsi"/>
          <w:b/>
          <w:color w:val="000000"/>
          <w:lang w:eastAsia="es-ES"/>
        </w:rPr>
        <w:t>Otra información importante.</w:t>
      </w:r>
    </w:p>
    <w:p w14:paraId="1EDE52AE" w14:textId="77777777" w:rsidR="009F66E1" w:rsidRPr="00A51480" w:rsidRDefault="009F66E1" w:rsidP="009F66E1">
      <w:pPr>
        <w:shd w:val="clear" w:color="auto" w:fill="FFFFFF"/>
        <w:spacing w:before="360" w:after="180"/>
        <w:ind w:left="960" w:firstLine="360"/>
        <w:jc w:val="both"/>
        <w:rPr>
          <w:rFonts w:eastAsia="Times New Roman" w:cstheme="minorHAnsi"/>
          <w:color w:val="000000"/>
          <w:lang w:eastAsia="es-ES"/>
        </w:rPr>
      </w:pPr>
      <w:r w:rsidRPr="00A51480">
        <w:rPr>
          <w:rFonts w:eastAsia="Times New Roman" w:cstheme="minorHAnsi"/>
          <w:color w:val="000000"/>
          <w:lang w:eastAsia="es-ES"/>
        </w:rPr>
        <w:t>En general, todos los depositantes minoristas y las empresas están cubiertos por sistemas de garantía de depósitos. Las excepciones aplicables a ciertos depósitos pueden consultarse en el sitio web del sistema de garantía de depósitos responsable. Su entidad de crédito le informará también, si así lo solicita, de si determinados productos están cubiertos o no. Si los depósitos están cubiertos, la entidad de crédito se lo confirmará también en los extractos de cuenta.</w:t>
      </w:r>
    </w:p>
    <w:p w14:paraId="521694E2" w14:textId="77777777" w:rsidR="009F66E1" w:rsidRPr="00A51480" w:rsidRDefault="009F66E1" w:rsidP="009F66E1">
      <w:pPr>
        <w:shd w:val="clear" w:color="auto" w:fill="FFFFFF"/>
        <w:spacing w:before="360" w:after="180"/>
        <w:ind w:left="960" w:firstLine="360"/>
        <w:jc w:val="both"/>
        <w:rPr>
          <w:rFonts w:eastAsia="Times New Roman" w:cstheme="minorHAnsi"/>
          <w:color w:val="000000"/>
          <w:lang w:eastAsia="es-ES"/>
        </w:rPr>
      </w:pPr>
      <w:r w:rsidRPr="00A51480">
        <w:rPr>
          <w:rFonts w:eastAsia="Times New Roman" w:cstheme="minorHAnsi"/>
          <w:color w:val="000000"/>
          <w:lang w:eastAsia="es-ES"/>
        </w:rPr>
        <w:t xml:space="preserve">No se consideran depósitos garantizados los realizados por otras entidades de crédito por cuenta propia y en su propio nombre, así como los realizados por los sujetos y las entidades financieras siguientes: </w:t>
      </w:r>
    </w:p>
    <w:p w14:paraId="475A7A5E" w14:textId="77777777" w:rsidR="009F66E1" w:rsidRPr="00A51480" w:rsidRDefault="009F66E1" w:rsidP="009F66E1">
      <w:pPr>
        <w:shd w:val="clear" w:color="auto" w:fill="FFFFFF"/>
        <w:spacing w:before="360" w:after="180"/>
        <w:ind w:left="960" w:firstLine="360"/>
        <w:jc w:val="both"/>
        <w:rPr>
          <w:rFonts w:eastAsia="Times New Roman" w:cstheme="minorHAnsi"/>
          <w:color w:val="000000"/>
          <w:lang w:eastAsia="es-ES"/>
        </w:rPr>
      </w:pPr>
      <w:r w:rsidRPr="00A51480">
        <w:rPr>
          <w:rFonts w:eastAsia="Times New Roman" w:cstheme="minorHAnsi"/>
          <w:color w:val="000000"/>
          <w:lang w:eastAsia="es-ES"/>
        </w:rPr>
        <w:t xml:space="preserve">1.º Las sociedades y agencias de valores. </w:t>
      </w:r>
    </w:p>
    <w:p w14:paraId="751540F0" w14:textId="77777777" w:rsidR="009F66E1" w:rsidRPr="00A51480" w:rsidRDefault="009F66E1" w:rsidP="009F66E1">
      <w:pPr>
        <w:shd w:val="clear" w:color="auto" w:fill="FFFFFF"/>
        <w:spacing w:before="360" w:after="180"/>
        <w:ind w:left="960" w:firstLine="360"/>
        <w:jc w:val="both"/>
        <w:rPr>
          <w:rFonts w:eastAsia="Times New Roman" w:cstheme="minorHAnsi"/>
          <w:color w:val="000000"/>
          <w:lang w:eastAsia="es-ES"/>
        </w:rPr>
      </w:pPr>
      <w:r w:rsidRPr="00A51480">
        <w:rPr>
          <w:rFonts w:eastAsia="Times New Roman" w:cstheme="minorHAnsi"/>
          <w:color w:val="000000"/>
          <w:lang w:eastAsia="es-ES"/>
        </w:rPr>
        <w:t xml:space="preserve">2.º Las entidades aseguradoras. </w:t>
      </w:r>
    </w:p>
    <w:p w14:paraId="4B691A64" w14:textId="77777777" w:rsidR="009F66E1" w:rsidRPr="00A51480" w:rsidRDefault="009F66E1" w:rsidP="009F66E1">
      <w:pPr>
        <w:shd w:val="clear" w:color="auto" w:fill="FFFFFF"/>
        <w:spacing w:before="360" w:after="180"/>
        <w:ind w:left="960" w:firstLine="360"/>
        <w:jc w:val="both"/>
        <w:rPr>
          <w:rFonts w:eastAsia="Times New Roman" w:cstheme="minorHAnsi"/>
          <w:color w:val="000000"/>
          <w:lang w:eastAsia="es-ES"/>
        </w:rPr>
      </w:pPr>
      <w:r w:rsidRPr="00A51480">
        <w:rPr>
          <w:rFonts w:eastAsia="Times New Roman" w:cstheme="minorHAnsi"/>
          <w:color w:val="000000"/>
          <w:lang w:eastAsia="es-ES"/>
        </w:rPr>
        <w:t>3.º Las sociedades de inversión mobiliaria.</w:t>
      </w:r>
    </w:p>
    <w:p w14:paraId="1A265B0D" w14:textId="77777777" w:rsidR="009F66E1" w:rsidRPr="00A51480" w:rsidRDefault="009F66E1" w:rsidP="009F66E1">
      <w:pPr>
        <w:shd w:val="clear" w:color="auto" w:fill="FFFFFF"/>
        <w:spacing w:before="360" w:after="180"/>
        <w:ind w:left="960" w:firstLine="360"/>
        <w:jc w:val="both"/>
        <w:rPr>
          <w:rFonts w:eastAsia="Times New Roman" w:cstheme="minorHAnsi"/>
          <w:color w:val="000000"/>
          <w:lang w:eastAsia="es-ES"/>
        </w:rPr>
      </w:pPr>
      <w:r w:rsidRPr="00A51480">
        <w:rPr>
          <w:rFonts w:eastAsia="Times New Roman" w:cstheme="minorHAnsi"/>
          <w:color w:val="000000"/>
          <w:lang w:eastAsia="es-ES"/>
        </w:rPr>
        <w:t xml:space="preserve"> 4.º Las sociedades gestoras de instituciones de inversión colectiva, así como las sociedades gestoras de fondos de pensiones, de los fondos de titulización y de capital-riesgo y los depósitos de las entidades que gestionan. </w:t>
      </w:r>
    </w:p>
    <w:p w14:paraId="4C7FCAB4" w14:textId="77777777" w:rsidR="009F66E1" w:rsidRPr="00A51480" w:rsidRDefault="009F66E1" w:rsidP="009F66E1">
      <w:pPr>
        <w:shd w:val="clear" w:color="auto" w:fill="FFFFFF"/>
        <w:spacing w:before="360" w:after="180"/>
        <w:ind w:left="960" w:firstLine="360"/>
        <w:jc w:val="both"/>
        <w:rPr>
          <w:rFonts w:eastAsia="Times New Roman" w:cstheme="minorHAnsi"/>
          <w:color w:val="000000"/>
          <w:lang w:eastAsia="es-ES"/>
        </w:rPr>
      </w:pPr>
      <w:r w:rsidRPr="00A51480">
        <w:rPr>
          <w:rFonts w:eastAsia="Times New Roman" w:cstheme="minorHAnsi"/>
          <w:color w:val="000000"/>
          <w:lang w:eastAsia="es-ES"/>
        </w:rPr>
        <w:t xml:space="preserve">5.º Las sociedades gestoras de carteras y las empresas de asesoramiento financiero. </w:t>
      </w:r>
    </w:p>
    <w:p w14:paraId="5D903215" w14:textId="77777777" w:rsidR="009F66E1" w:rsidRPr="00A51480" w:rsidRDefault="009F66E1" w:rsidP="009F66E1">
      <w:pPr>
        <w:shd w:val="clear" w:color="auto" w:fill="FFFFFF"/>
        <w:spacing w:before="360" w:after="180"/>
        <w:ind w:left="960" w:firstLine="360"/>
        <w:jc w:val="both"/>
        <w:rPr>
          <w:rFonts w:eastAsia="Times New Roman" w:cstheme="minorHAnsi"/>
          <w:color w:val="000000"/>
          <w:lang w:eastAsia="es-ES"/>
        </w:rPr>
      </w:pPr>
      <w:r w:rsidRPr="00A51480">
        <w:rPr>
          <w:rFonts w:eastAsia="Times New Roman" w:cstheme="minorHAnsi"/>
          <w:color w:val="000000"/>
          <w:lang w:eastAsia="es-ES"/>
        </w:rPr>
        <w:lastRenderedPageBreak/>
        <w:t xml:space="preserve">6.º Las sociedades de capital riesgo y sus correspondientes sociedades gestoras. </w:t>
      </w:r>
    </w:p>
    <w:p w14:paraId="7FDE2F89" w14:textId="77777777" w:rsidR="009F66E1" w:rsidRPr="00A51480" w:rsidRDefault="009F66E1" w:rsidP="009F66E1">
      <w:pPr>
        <w:shd w:val="clear" w:color="auto" w:fill="FFFFFF"/>
        <w:spacing w:before="360" w:after="180"/>
        <w:ind w:left="960" w:firstLine="360"/>
        <w:jc w:val="both"/>
        <w:rPr>
          <w:rFonts w:eastAsia="Times New Roman" w:cstheme="minorHAnsi"/>
          <w:color w:val="000000"/>
          <w:lang w:eastAsia="es-ES"/>
        </w:rPr>
      </w:pPr>
      <w:r w:rsidRPr="00A51480">
        <w:rPr>
          <w:rFonts w:eastAsia="Times New Roman" w:cstheme="minorHAnsi"/>
          <w:color w:val="000000"/>
          <w:lang w:eastAsia="es-ES"/>
        </w:rPr>
        <w:t>7.º Cualquier otra entidad financiera definida en el artículo 4.1.26) del Reglamento (UE) n.º 575/2013 del Parlamento Europeo y del Consejo, de 26 de junio de 2013. Tampoco tienen cobertura los fondos propios de la entidad de crédito, los valores representativos de deuda emitidos por la entidad de crédito, incluso los pagarés y efectos negociables. Tampoco tienen cobertura los depósitos constituidos por las Administraciones Públicas, con la excepción de los constituidos por entidades locales con un presupuesto anual igual o inferior a 500.000 euros. No están garantizados los valores de que sean titulares las personas mencionadas en los ordinales anteriores ni los de las Administraciones.</w:t>
      </w:r>
    </w:p>
    <w:p w14:paraId="09D287CB" w14:textId="77777777" w:rsidR="00FA5570" w:rsidRDefault="00FA5570"/>
    <w:sectPr w:rsidR="00FA5570" w:rsidSect="00FE2023">
      <w:headerReference w:type="even" r:id="rId9"/>
      <w:headerReference w:type="default" r:id="rId10"/>
      <w:headerReference w:type="first" r:id="rId11"/>
      <w:pgSz w:w="11900" w:h="16840"/>
      <w:pgMar w:top="3335" w:right="1701" w:bottom="330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A3668" w14:textId="77777777" w:rsidR="00671EF0" w:rsidRDefault="00671EF0" w:rsidP="001A5C69">
      <w:r>
        <w:separator/>
      </w:r>
    </w:p>
  </w:endnote>
  <w:endnote w:type="continuationSeparator" w:id="0">
    <w:p w14:paraId="430E2368" w14:textId="77777777" w:rsidR="00671EF0" w:rsidRDefault="00671EF0" w:rsidP="001A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A0B3D" w14:textId="77777777" w:rsidR="00671EF0" w:rsidRDefault="00671EF0" w:rsidP="001A5C69">
      <w:r>
        <w:separator/>
      </w:r>
    </w:p>
  </w:footnote>
  <w:footnote w:type="continuationSeparator" w:id="0">
    <w:p w14:paraId="77B9B476" w14:textId="77777777" w:rsidR="00671EF0" w:rsidRDefault="00671EF0" w:rsidP="001A5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11F4" w14:textId="77777777" w:rsidR="001A5C69" w:rsidRDefault="005B74F9">
    <w:pPr>
      <w:pStyle w:val="Encabezado"/>
    </w:pPr>
    <w:r>
      <w:rPr>
        <w:noProof/>
      </w:rPr>
      <w:pict w14:anchorId="79DFD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522602" o:spid="_x0000_s2051" type="#_x0000_t75" alt="" style="position:absolute;margin-left:0;margin-top:0;width:595.2pt;height:841.9pt;z-index:-251645952;mso-wrap-edited:f;mso-width-percent:0;mso-height-percent:0;mso-position-horizontal:center;mso-position-horizontal-relative:margin;mso-position-vertical:center;mso-position-vertical-relative:margin;mso-width-percent:0;mso-height-percent:0" o:allowincell="f">
          <v:imagedata r:id="rId1" o:title="folio_a4_20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244DA" w14:textId="77777777" w:rsidR="001A5C69" w:rsidRDefault="005B74F9">
    <w:pPr>
      <w:pStyle w:val="Encabezado"/>
    </w:pPr>
    <w:r>
      <w:rPr>
        <w:noProof/>
      </w:rPr>
      <w:pict w14:anchorId="1B321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522603" o:spid="_x0000_s2050" type="#_x0000_t75" alt="" style="position:absolute;margin-left:0;margin-top:0;width:595.2pt;height:841.9pt;z-index:-251643904;mso-wrap-edited:f;mso-width-percent:0;mso-height-percent:0;mso-position-horizontal:center;mso-position-horizontal-relative:margin;mso-position-vertical:center;mso-position-vertical-relative:margin;mso-width-percent:0;mso-height-percent:0" o:allowincell="f">
          <v:imagedata r:id="rId1" o:title="folio_a4_20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5CC4A" w14:textId="77777777" w:rsidR="001A5C69" w:rsidRDefault="005B74F9">
    <w:pPr>
      <w:pStyle w:val="Encabezado"/>
    </w:pPr>
    <w:r>
      <w:rPr>
        <w:noProof/>
      </w:rPr>
      <w:pict w14:anchorId="6B4B2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522601" o:spid="_x0000_s2049" type="#_x0000_t75" alt="" style="position:absolute;margin-left:0;margin-top:0;width:595.2pt;height:841.9pt;z-index:-251648000;mso-wrap-edited:f;mso-width-percent:0;mso-height-percent:0;mso-position-horizontal:center;mso-position-horizontal-relative:margin;mso-position-vertical:center;mso-position-vertical-relative:margin;mso-width-percent:0;mso-height-percent:0" o:allowincell="f">
          <v:imagedata r:id="rId1" o:title="folio_a4_2024"/>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readOnly" w:formatting="1" w:enforcement="1" w:cryptProviderType="rsaAES" w:cryptAlgorithmClass="hash" w:cryptAlgorithmType="typeAny" w:cryptAlgorithmSid="14" w:cryptSpinCount="100000" w:hash="RjgVPRFv013Mnncj8mPcwKXxEQusAdvSZbvgdEo2auSTaWzlYY7CBlj5Nb5miKdA1tdYKWFvfqdZ4LWA5h+kfw==" w:salt="hoKD2MHeHX+oB0OWIp/UTQ=="/>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C69"/>
    <w:rsid w:val="001A5C69"/>
    <w:rsid w:val="00415B90"/>
    <w:rsid w:val="005B74F9"/>
    <w:rsid w:val="00671EF0"/>
    <w:rsid w:val="008151F6"/>
    <w:rsid w:val="00851235"/>
    <w:rsid w:val="009C4C27"/>
    <w:rsid w:val="009F66E1"/>
    <w:rsid w:val="00A51480"/>
    <w:rsid w:val="00AF45B1"/>
    <w:rsid w:val="00B02424"/>
    <w:rsid w:val="00B74ED7"/>
    <w:rsid w:val="00D1594B"/>
    <w:rsid w:val="00F31D7F"/>
    <w:rsid w:val="00FA5570"/>
    <w:rsid w:val="00FE20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D85285"/>
  <w15:chartTrackingRefBased/>
  <w15:docId w15:val="{BA83EF08-24BA-9546-8531-025821CC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C69"/>
    <w:pPr>
      <w:tabs>
        <w:tab w:val="center" w:pos="4419"/>
        <w:tab w:val="right" w:pos="8838"/>
      </w:tabs>
    </w:pPr>
  </w:style>
  <w:style w:type="character" w:customStyle="1" w:styleId="EncabezadoCar">
    <w:name w:val="Encabezado Car"/>
    <w:basedOn w:val="Fuentedeprrafopredeter"/>
    <w:link w:val="Encabezado"/>
    <w:uiPriority w:val="99"/>
    <w:rsid w:val="001A5C69"/>
  </w:style>
  <w:style w:type="paragraph" w:styleId="Piedepgina">
    <w:name w:val="footer"/>
    <w:basedOn w:val="Normal"/>
    <w:link w:val="PiedepginaCar"/>
    <w:uiPriority w:val="99"/>
    <w:unhideWhenUsed/>
    <w:rsid w:val="001A5C69"/>
    <w:pPr>
      <w:tabs>
        <w:tab w:val="center" w:pos="4419"/>
        <w:tab w:val="right" w:pos="8838"/>
      </w:tabs>
    </w:pPr>
  </w:style>
  <w:style w:type="character" w:customStyle="1" w:styleId="PiedepginaCar">
    <w:name w:val="Pie de página Car"/>
    <w:basedOn w:val="Fuentedeprrafopredeter"/>
    <w:link w:val="Piedepgina"/>
    <w:uiPriority w:val="99"/>
    <w:rsid w:val="001A5C69"/>
  </w:style>
  <w:style w:type="character" w:styleId="Hipervnculo">
    <w:name w:val="Hyperlink"/>
    <w:basedOn w:val="Fuentedeprrafopredeter"/>
    <w:uiPriority w:val="99"/>
    <w:unhideWhenUsed/>
    <w:rsid w:val="009F66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gd.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gd.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fgd.e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763</Words>
  <Characters>4202</Characters>
  <Application>Microsoft Office Word</Application>
  <DocSecurity>8</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Isabel Rufete Cabrera</cp:lastModifiedBy>
  <cp:revision>3</cp:revision>
  <dcterms:created xsi:type="dcterms:W3CDTF">2025-05-07T12:24:00Z</dcterms:created>
  <dcterms:modified xsi:type="dcterms:W3CDTF">2025-05-07T12:28:00Z</dcterms:modified>
</cp:coreProperties>
</file>